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172A"/>
          <w:sz w:val="44"/>
        </w:rPr>
        <w:t>MUTUAL NON-DISCLOSURE AGREEMENT</w:t>
      </w:r>
    </w:p>
    <w:p>
      <w:r>
        <w:rPr>
          <w:b w:val="0"/>
          <w:color w:val="0F172A"/>
          <w:sz w:val="21"/>
        </w:rPr>
      </w:r>
    </w:p>
    <w:p>
      <w:r>
        <w:rPr>
          <w:b w:val="0"/>
          <w:color w:val="0F172A"/>
          <w:sz w:val="21"/>
        </w:rPr>
        <w:t>This Mutual Non-Disclosure Agreement (the “Agreement”) is entered into as of {{EffectiveDate}} by and between {{DisclosingParty}}, located at {{DisclosingPartyAddress}}, and {{ReceivingParty}}, located at {{ReceivingPartyAddress}} (each a “Party” and together the “Parties”).</w:t>
      </w:r>
    </w:p>
    <w:p>
      <w:pPr>
        <w:spacing w:before="200" w:after="80"/>
      </w:pPr>
      <w:r>
        <w:rPr>
          <w:b/>
          <w:color w:val="E2435C"/>
          <w:sz w:val="26"/>
        </w:rPr>
        <w:t>1. Purpose</w:t>
      </w:r>
    </w:p>
    <w:p>
      <w:r>
        <w:rPr>
          <w:b w:val="0"/>
          <w:color w:val="0F172A"/>
          <w:sz w:val="21"/>
        </w:rPr>
        <w:t>The Parties wish to explore {{Purpose}} (the “Purpose”) and, in connection with the Purpose, may disclose to each other certain confidential and proprietary information.</w:t>
      </w:r>
    </w:p>
    <w:p>
      <w:pPr>
        <w:spacing w:before="200" w:after="80"/>
      </w:pPr>
      <w:r>
        <w:rPr>
          <w:b/>
          <w:color w:val="E2435C"/>
          <w:sz w:val="26"/>
        </w:rPr>
        <w:t>2. Confidential Information</w:t>
      </w:r>
    </w:p>
    <w:p>
      <w:r>
        <w:rPr>
          <w:b w:val="0"/>
          <w:color w:val="0F172A"/>
          <w:sz w:val="21"/>
        </w:rPr>
        <w:t>“Confidential Information” means any non-public information disclosed by one Party to the other, whether orally, in writing, or in any other form, that is designated as confidential or that reasonably should be understood to be confidential given its nature.</w:t>
      </w:r>
    </w:p>
    <w:p>
      <w:pPr>
        <w:spacing w:before="200" w:after="80"/>
      </w:pPr>
      <w:r>
        <w:rPr>
          <w:b/>
          <w:color w:val="E2435C"/>
          <w:sz w:val="26"/>
        </w:rPr>
        <w:t>3. Obligations</w:t>
      </w:r>
    </w:p>
    <w:p>
      <w:r>
        <w:rPr>
          <w:b w:val="0"/>
          <w:color w:val="0F172A"/>
          <w:sz w:val="21"/>
        </w:rPr>
        <w:t>Each Party agrees to hold the other Party's Confidential Information in strict confidence, to use it solely for the Purpose, and not to disclose it to any third party without prior written consent.</w:t>
      </w:r>
    </w:p>
    <w:p>
      <w:pPr>
        <w:spacing w:before="200" w:after="80"/>
      </w:pPr>
      <w:r>
        <w:rPr>
          <w:b/>
          <w:color w:val="E2435C"/>
          <w:sz w:val="26"/>
        </w:rPr>
        <w:t>4. Term</w:t>
      </w:r>
    </w:p>
    <w:p>
      <w:r>
        <w:rPr>
          <w:b w:val="0"/>
          <w:color w:val="0F172A"/>
          <w:sz w:val="21"/>
        </w:rPr>
        <w:t>This Agreement remains in effect for {{TermYears}} years from the Effective Date. The confidentiality obligations survive termination.</w:t>
      </w:r>
    </w:p>
    <w:p>
      <w:pPr>
        <w:spacing w:before="200" w:after="80"/>
      </w:pPr>
      <w:r>
        <w:rPr>
          <w:b/>
          <w:color w:val="E2435C"/>
          <w:sz w:val="26"/>
        </w:rPr>
        <w:t>5. Governing Law</w:t>
      </w:r>
    </w:p>
    <w:p>
      <w:r>
        <w:rPr>
          <w:b w:val="0"/>
          <w:color w:val="0F172A"/>
          <w:sz w:val="21"/>
        </w:rPr>
        <w:t>This Agreement is governed by the laws of {{GoverningLaw}}, without regard to its conflict-of-laws provisions.</w:t>
      </w:r>
    </w:p>
    <w:p>
      <w:r>
        <w:rPr>
          <w:b w:val="0"/>
          <w:color w:val="0F172A"/>
          <w:sz w:val="21"/>
        </w:rPr>
      </w:r>
    </w:p>
    <w:p>
      <w:r>
        <w:rPr>
          <w:b/>
          <w:color w:val="0F172A"/>
          <w:sz w:val="21"/>
        </w:rPr>
        <w:t>Agreed and accepted:</w:t>
      </w:r>
    </w:p>
    <w:p>
      <w:r>
        <w:rPr>
          <w:b w:val="0"/>
          <w:color w:val="0F172A"/>
          <w:sz w:val="21"/>
        </w:rPr>
      </w:r>
    </w:p>
    <w:p>
      <w:r>
        <w:rPr>
          <w:b/>
          <w:color w:val="0F172A"/>
          <w:sz w:val="21"/>
        </w:rPr>
        <w:t>{{SignatoryName}}</w:t>
      </w:r>
    </w:p>
    <w:p>
      <w:r>
        <w:rPr>
          <w:b w:val="0"/>
          <w:color w:val="64748B"/>
          <w:sz w:val="19"/>
        </w:rPr>
        <w:t>{{SignatoryTitle}}, {{DisclosingParty}}</w:t>
      </w:r>
    </w:p>
    <w:sectPr w:rsidR="00FC693F" w:rsidRPr="0006063C" w:rsidSect="00034616">
      <w:headerReference w:type="default" r:id="rId9"/>
      <w:pgSz w:w="12240" w:h="15840"/>
      <w:pgMar w:top="1944" w:right="1296" w:bottom="1296" w:left="1296" w:header="64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auto" w:w="0"/>
      <w:jc w:val="right"/>
      <w:tblLayout w:type="fixed"/>
      <w:tblLook w:firstColumn="1" w:firstRow="1" w:lastColumn="0" w:lastRow="0" w:noHBand="0" w:noVBand="1" w:val="04A0"/>
      <w:tblBorders>
        <w:top w:val="nil"/>
        <w:left w:val="nil"/>
        <w:bottom w:val="nil"/>
        <w:right w:val="nil"/>
        <w:insideH w:val="nil"/>
        <w:insideV w:val="nil"/>
      </w:tblBorders>
    </w:tblPr>
    <w:tblGrid>
      <w:gridCol w:w="1500"/>
      <w:gridCol w:w="1500"/>
    </w:tblGrid>
    <w:tr>
      <w:tc>
        <w:tcPr>
          <w:tcW w:type="dxa" w:w="320"/>
          <w:tcMar>
            <w:top w:w="0" w:type="dxa"/>
            <w:bottom w:w="0" w:type="dxa"/>
            <w:left w:w="0" w:type="dxa"/>
            <w:right w:w="0" w:type="dxa"/>
          </w:tcMar>
          <w:vAlign w:val="center"/>
          <w:noWrap/>
        </w:tcPr>
        <w:p>
          <w:pPr>
            <w:spacing w:after="0" w:before="0"/>
            <w:jc w:val="right"/>
          </w:pPr>
          <w:r>
            <w:drawing>
              <wp:inline xmlns:a="http://schemas.openxmlformats.org/drawingml/2006/main" xmlns:pic="http://schemas.openxmlformats.org/drawingml/2006/picture">
                <wp:extent cx="190500" cy="190500"/>
                <wp:docPr id="1" name="Picture 1"/>
                <wp:cNvGraphicFramePr>
                  <a:graphicFrameLocks noChangeAspect="1"/>
                </wp:cNvGraphicFramePr>
                <a:graphic>
                  <a:graphicData uri="http://schemas.openxmlformats.org/drawingml/2006/picture">
                    <pic:pic>
                      <pic:nvPicPr>
                        <pic:cNvPr id="0" name="docexport-icon.png"/>
                        <pic:cNvPicPr/>
                      </pic:nvPicPr>
                      <pic:blipFill>
                        <a:blip r:embed="rId1"/>
                        <a:stretch>
                          <a:fillRect/>
                        </a:stretch>
                      </pic:blipFill>
                      <pic:spPr>
                        <a:xfrm>
                          <a:off x="0" y="0"/>
                          <a:ext cx="190500" cy="190500"/>
                        </a:xfrm>
                        <a:prstGeom prst="rect"/>
                      </pic:spPr>
                    </pic:pic>
                  </a:graphicData>
                </a:graphic>
              </wp:inline>
            </w:drawing>
          </w:r>
        </w:p>
      </w:tc>
      <w:tc>
        <w:tcPr>
          <w:tcW w:type="dxa" w:w="2680"/>
          <w:tcMar>
            <w:top w:w="0" w:type="dxa"/>
            <w:bottom w:w="0" w:type="dxa"/>
            <w:left w:w="0" w:type="dxa"/>
            <w:right w:w="0" w:type="dxa"/>
          </w:tcMar>
          <w:vAlign w:val="center"/>
          <w:noWrap/>
        </w:tcPr>
        <w:p>
          <w:pPr>
            <w:spacing w:after="0" w:before="0"/>
            <w:jc w:val="left"/>
          </w:pPr>
          <w:r>
            <w:rPr>
              <w:b/>
              <w:color w:val="0F172A"/>
              <w:sz w:val="24"/>
            </w:rPr>
            <w:t>DocExport</w:t>
          </w:r>
          <w:r>
            <w:rPr>
              <w:b/>
              <w:color w:val="066AAB"/>
              <w:sz w:val="24"/>
            </w:rPr>
            <w:t>.ai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0F17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